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7D679"/>
    <w:p w14:paraId="2B327E1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 </w:t>
      </w:r>
    </w:p>
    <w:p w14:paraId="494181D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независимой антикоррупционной экспертизы </w:t>
      </w:r>
    </w:p>
    <w:p w14:paraId="2BA3D8D6">
      <w:pPr>
        <w:ind w:firstLine="709"/>
        <w:jc w:val="center"/>
        <w:rPr>
          <w:b/>
          <w:sz w:val="28"/>
          <w:szCs w:val="28"/>
        </w:rPr>
      </w:pPr>
    </w:p>
    <w:p w14:paraId="788D98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проекта нормативно-правового акта:</w:t>
      </w:r>
    </w:p>
    <w:p w14:paraId="247AC7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Администрации городского округа Похвистнево  «О внесении изменений в постановление Администрации городского округа Похвистнево от 10.02.2025 № 108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муниципальной адресной программы городского округа Похвистнево Самарской области «Переселение граждан из аварийного жилищного фонда, признанного таковым в период с 1 января 2017 до 1 января 2022 года» на 2025-2028 годы».</w:t>
      </w:r>
    </w:p>
    <w:p w14:paraId="1A1C1B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Разработчиком проекта НПА является муниципальное казённое учреждение «Управление градостроительства и жилищно-коммунального хозяйства». </w:t>
      </w:r>
    </w:p>
    <w:p w14:paraId="0DFA9B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14:paraId="73F29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бюджетный кодекс Российской Федерации,</w:t>
      </w:r>
    </w:p>
    <w:p w14:paraId="17F5C2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Распоряжение Правительства Самарской области от 30.09.2025 № 438-р «О внесении изменений в распоряжение Правительства Самарской области от 14.02.2025 № 58-р «Об утверждении адресной программы Самарской области «Переселение граждан из аварийного жилищного фонда, признанного таковым в период с 1 января 2017 до 1 января 2022 года». </w:t>
      </w:r>
    </w:p>
    <w:p w14:paraId="0DF0E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Состояние законодательства в данной сфере регулирования.</w:t>
      </w:r>
    </w:p>
    <w:p w14:paraId="5A270123">
      <w:pPr>
        <w:ind w:firstLine="709"/>
        <w:jc w:val="both"/>
        <w:rPr>
          <w:sz w:val="28"/>
          <w:szCs w:val="28"/>
        </w:rPr>
      </w:pPr>
      <w:r>
        <w:rPr>
          <w:bCs/>
          <w:spacing w:val="-15"/>
          <w:sz w:val="28"/>
          <w:szCs w:val="28"/>
        </w:rPr>
        <w:t>Указ Президента Российской Федерации от 07.05.2024 № 309 «О национальных целях развития Российской Федерации на период до 2030 года  и на перспективу до 2036 года».</w:t>
      </w:r>
    </w:p>
    <w:p w14:paraId="01F97592">
      <w:pPr>
        <w:ind w:firstLine="709"/>
        <w:jc w:val="both"/>
        <w:rPr>
          <w:sz w:val="28"/>
          <w:szCs w:val="28"/>
        </w:rPr>
      </w:pPr>
    </w:p>
    <w:p w14:paraId="22C1C1A2">
      <w:pPr>
        <w:ind w:firstLine="709"/>
        <w:jc w:val="both"/>
        <w:rPr>
          <w:sz w:val="28"/>
          <w:szCs w:val="28"/>
        </w:rPr>
      </w:pPr>
    </w:p>
    <w:p w14:paraId="25B6AA3D">
      <w:pPr>
        <w:jc w:val="both"/>
        <w:rPr>
          <w:sz w:val="28"/>
          <w:szCs w:val="28"/>
        </w:rPr>
      </w:pPr>
      <w:r>
        <w:rPr>
          <w:sz w:val="28"/>
          <w:szCs w:val="28"/>
        </w:rPr>
        <w:t>И.о. руководителя МКУ</w:t>
      </w:r>
    </w:p>
    <w:p w14:paraId="3C1BE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ГЖКХ»                                                                             Д.В. Пугачев  </w:t>
      </w:r>
    </w:p>
    <w:p w14:paraId="4F7EF1A3">
      <w:pPr>
        <w:jc w:val="both"/>
        <w:rPr>
          <w:sz w:val="28"/>
          <w:szCs w:val="28"/>
        </w:rPr>
      </w:pPr>
    </w:p>
    <w:p w14:paraId="6AC90997">
      <w:pPr>
        <w:jc w:val="both"/>
        <w:rPr>
          <w:sz w:val="28"/>
          <w:szCs w:val="28"/>
        </w:rPr>
      </w:pPr>
    </w:p>
    <w:p w14:paraId="49B79122">
      <w:pPr>
        <w:jc w:val="both"/>
        <w:rPr>
          <w:sz w:val="28"/>
          <w:szCs w:val="28"/>
        </w:rPr>
      </w:pPr>
    </w:p>
    <w:p w14:paraId="52819635">
      <w:pPr>
        <w:jc w:val="both"/>
        <w:rPr>
          <w:sz w:val="28"/>
          <w:szCs w:val="28"/>
        </w:rPr>
      </w:pPr>
    </w:p>
    <w:p w14:paraId="352181D6">
      <w:pPr>
        <w:jc w:val="both"/>
        <w:rPr>
          <w:sz w:val="28"/>
          <w:szCs w:val="28"/>
        </w:rPr>
      </w:pPr>
    </w:p>
    <w:p w14:paraId="2AEBC18E">
      <w:pPr>
        <w:jc w:val="both"/>
        <w:rPr>
          <w:sz w:val="28"/>
          <w:szCs w:val="28"/>
        </w:rPr>
      </w:pPr>
    </w:p>
    <w:p w14:paraId="4966071A">
      <w:pPr>
        <w:jc w:val="both"/>
        <w:rPr>
          <w:sz w:val="28"/>
          <w:szCs w:val="28"/>
        </w:rPr>
      </w:pPr>
    </w:p>
    <w:p w14:paraId="1E4BF8A9">
      <w:pPr>
        <w:jc w:val="both"/>
        <w:rPr>
          <w:sz w:val="28"/>
          <w:szCs w:val="28"/>
        </w:rPr>
      </w:pPr>
    </w:p>
    <w:p w14:paraId="3F78A296">
      <w:pPr>
        <w:jc w:val="both"/>
        <w:rPr>
          <w:sz w:val="28"/>
          <w:szCs w:val="28"/>
        </w:rPr>
      </w:pPr>
    </w:p>
    <w:p w14:paraId="796269EB">
      <w:pPr>
        <w:jc w:val="both"/>
        <w:rPr>
          <w:sz w:val="28"/>
          <w:szCs w:val="28"/>
        </w:rPr>
      </w:pPr>
    </w:p>
    <w:p w14:paraId="0A1D71EC">
      <w:pPr>
        <w:jc w:val="both"/>
        <w:rPr>
          <w:sz w:val="28"/>
          <w:szCs w:val="28"/>
        </w:rPr>
      </w:pPr>
    </w:p>
    <w:p w14:paraId="0FB585F4">
      <w:pPr>
        <w:jc w:val="both"/>
        <w:rPr>
          <w:sz w:val="28"/>
          <w:szCs w:val="28"/>
        </w:rPr>
      </w:pPr>
    </w:p>
    <w:p w14:paraId="09751BDF">
      <w:pPr>
        <w:jc w:val="both"/>
        <w:rPr>
          <w:sz w:val="28"/>
          <w:szCs w:val="28"/>
        </w:rPr>
      </w:pPr>
    </w:p>
    <w:p w14:paraId="07E5F05C">
      <w:pPr>
        <w:jc w:val="both"/>
        <w:rPr>
          <w:sz w:val="28"/>
          <w:szCs w:val="28"/>
        </w:rPr>
      </w:pPr>
    </w:p>
    <w:p w14:paraId="248D2506">
      <w:pPr>
        <w:jc w:val="both"/>
        <w:rPr>
          <w:sz w:val="28"/>
          <w:szCs w:val="28"/>
        </w:rPr>
      </w:pPr>
    </w:p>
    <w:p w14:paraId="2B86C911">
      <w:pPr>
        <w:jc w:val="both"/>
        <w:rPr>
          <w:sz w:val="28"/>
          <w:szCs w:val="28"/>
        </w:rPr>
      </w:pPr>
    </w:p>
    <w:p w14:paraId="533107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14:paraId="3DCF16CC">
      <w:pPr>
        <w:rPr>
          <w:b/>
          <w:sz w:val="28"/>
          <w:szCs w:val="28"/>
        </w:rPr>
      </w:pPr>
    </w:p>
    <w:p w14:paraId="11CD644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Наименование проекта НПА:</w:t>
      </w:r>
    </w:p>
    <w:p w14:paraId="7C267FFC">
      <w:pPr>
        <w:jc w:val="both"/>
        <w:rPr>
          <w:sz w:val="28"/>
          <w:szCs w:val="28"/>
        </w:rPr>
      </w:pPr>
    </w:p>
    <w:p w14:paraId="187D71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Администрации городского округа Похвистнево «О внесении изменений в постановление Администрации городского округа Похвистнево от 10.02.2025 № 108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муниципальной адресной программы городского округа Похвистнево Самарской области «Переселение граждан из аварийного жилищного фонда, признанного таковым в период с 1 января 2017 до 1 января 2022 года» на 2025-2028 годы».</w:t>
      </w:r>
    </w:p>
    <w:p w14:paraId="4047177C">
      <w:pPr>
        <w:pStyle w:val="7"/>
        <w:widowControl/>
        <w:tabs>
          <w:tab w:val="left" w:pos="6237"/>
        </w:tabs>
        <w:ind w:firstLine="709"/>
        <w:jc w:val="both"/>
        <w:rPr>
          <w:sz w:val="28"/>
          <w:szCs w:val="28"/>
        </w:rPr>
      </w:pPr>
    </w:p>
    <w:p w14:paraId="4906DA10">
      <w:pPr>
        <w:pStyle w:val="7"/>
        <w:widowControl/>
        <w:tabs>
          <w:tab w:val="left" w:pos="6237"/>
        </w:tabs>
        <w:ind w:firstLine="709"/>
        <w:jc w:val="both"/>
        <w:rPr>
          <w:b w:val="0"/>
          <w:sz w:val="28"/>
          <w:szCs w:val="28"/>
        </w:rPr>
      </w:pPr>
    </w:p>
    <w:p w14:paraId="7C568F62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 проведения независимой антикоррупционной экспертизы НПА:</w:t>
      </w:r>
    </w:p>
    <w:p w14:paraId="64D7A501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 20.10.2025 г. по 23.10. 2025 г.</w:t>
      </w:r>
    </w:p>
    <w:p w14:paraId="67213AF7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Адреса для приема замечаний:</w:t>
      </w:r>
    </w:p>
    <w:p w14:paraId="1D550DC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электронный – </w:t>
      </w:r>
      <w:r>
        <w:fldChar w:fldCharType="begin"/>
      </w:r>
      <w:r>
        <w:instrText xml:space="preserve"> HYPERLINK "mailto:gl_upravlenie@mail.ru"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  <w:lang w:val="en-US"/>
        </w:rPr>
        <w:t>gl</w:t>
      </w:r>
      <w:r>
        <w:rPr>
          <w:rStyle w:val="4"/>
          <w:color w:val="auto"/>
          <w:sz w:val="28"/>
          <w:szCs w:val="28"/>
          <w:u w:val="none"/>
        </w:rPr>
        <w:t>_</w:t>
      </w:r>
      <w:r>
        <w:rPr>
          <w:rStyle w:val="4"/>
          <w:color w:val="auto"/>
          <w:sz w:val="28"/>
          <w:szCs w:val="28"/>
          <w:u w:val="none"/>
          <w:lang w:val="en-US"/>
        </w:rPr>
        <w:t>upravlenie</w:t>
      </w:r>
      <w:r>
        <w:rPr>
          <w:rStyle w:val="4"/>
          <w:color w:val="auto"/>
          <w:sz w:val="28"/>
          <w:szCs w:val="28"/>
          <w:u w:val="none"/>
        </w:rPr>
        <w:t>@</w:t>
      </w:r>
      <w:r>
        <w:rPr>
          <w:rStyle w:val="4"/>
          <w:color w:val="auto"/>
          <w:sz w:val="28"/>
          <w:szCs w:val="28"/>
          <w:u w:val="none"/>
          <w:lang w:val="en-US"/>
        </w:rPr>
        <w:t>mail</w:t>
      </w:r>
      <w:r>
        <w:rPr>
          <w:rStyle w:val="4"/>
          <w:color w:val="auto"/>
          <w:sz w:val="28"/>
          <w:szCs w:val="28"/>
          <w:u w:val="none"/>
        </w:rPr>
        <w:t>.</w:t>
      </w:r>
      <w:r>
        <w:rPr>
          <w:rStyle w:val="4"/>
          <w:color w:val="auto"/>
          <w:sz w:val="28"/>
          <w:szCs w:val="28"/>
          <w:u w:val="none"/>
          <w:lang w:val="en-US"/>
        </w:rPr>
        <w:t>ru</w:t>
      </w:r>
      <w:r>
        <w:rPr>
          <w:rStyle w:val="4"/>
          <w:color w:val="auto"/>
          <w:sz w:val="28"/>
          <w:szCs w:val="28"/>
          <w:u w:val="none"/>
          <w:lang w:val="en-US"/>
        </w:rPr>
        <w:fldChar w:fldCharType="end"/>
      </w:r>
    </w:p>
    <w:p w14:paraId="3A6FAA2A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 № 30.  </w:t>
      </w:r>
    </w:p>
    <w:bookmarkEnd w:id="0"/>
    <w:p w14:paraId="713016C4"/>
    <w:sectPr>
      <w:headerReference r:id="rId5" w:type="default"/>
      <w:pgSz w:w="11906" w:h="16838"/>
      <w:pgMar w:top="1134" w:right="566" w:bottom="851" w:left="170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95169563"/>
      <w:docPartObj>
        <w:docPartGallery w:val="AutoText"/>
      </w:docPartObj>
    </w:sdtPr>
    <w:sdtContent>
      <w:p w14:paraId="649B68B6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E97FBE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9D"/>
    <w:rsid w:val="00BD7E1D"/>
    <w:rsid w:val="00EF549D"/>
    <w:rsid w:val="00F7439A"/>
    <w:rsid w:val="60F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semiHidden/>
    <w:unhideWhenUsed/>
    <w:qFormat/>
    <w:uiPriority w:val="99"/>
    <w:rPr>
      <w:color w:val="0000FF"/>
      <w:u w:val="single"/>
    </w:rPr>
  </w:style>
  <w:style w:type="paragraph" w:styleId="5">
    <w:name w:val="header"/>
    <w:basedOn w:val="1"/>
    <w:link w:val="6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6">
    <w:name w:val="Верхний колонтитул Знак"/>
    <w:basedOn w:val="2"/>
    <w:link w:val="5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7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667</Words>
  <Characters>3808</Characters>
  <Lines>31</Lines>
  <Paragraphs>8</Paragraphs>
  <TotalTime>0</TotalTime>
  <ScaleCrop>false</ScaleCrop>
  <LinksUpToDate>false</LinksUpToDate>
  <CharactersWithSpaces>4467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2025-10-20T05:06:00Z</dcterms:created>
  <dc:creator>Панова</dc:creator>
  <cp:lastModifiedBy>Овсянников</cp:lastModifiedBy>
  <dcterms:modified xsi:type="dcterms:W3CDTF">2025-10-21T11:05:21Z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210FE1A7A10640EFBCF87B0106B7CB37_12</vt:lpwstr>
  </property>
</Properties>
</file>